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Post-Incorporation GST &amp; Accounting Readiness Checklist</w:t>
      </w:r>
    </w:p>
    <w:p>
      <w:r>
        <w:t>SetMyCompany | India entry, compliance, GST, TDS, and accounting support</w:t>
      </w:r>
    </w:p>
    <w:p>
      <w:r>
        <w:t>Use this checklist in your first 30 days after company incorporation to avoid invoicing delays, ITC loss, and compliance cleanup later.</w:t>
      </w:r>
    </w:p>
    <w:p>
      <w:pPr>
        <w:pStyle w:val="Heading2"/>
      </w:pPr>
      <w:r>
        <w:t>A. GST Position (Days 1–7)</w:t>
      </w:r>
    </w:p>
    <w:p>
      <w:pPr>
        <w:pStyle w:val="ListBullet"/>
      </w:pPr>
      <w:r>
        <w:t>Confirm business model: goods, services, SaaS, consulting, export, marketplace, or mixed supply.</w:t>
      </w:r>
    </w:p>
    <w:p>
      <w:pPr>
        <w:pStyle w:val="ListBullet"/>
      </w:pPr>
      <w:r>
        <w:t>Check whether GST registration is mandatory, voluntary, or not immediately needed.</w:t>
      </w:r>
    </w:p>
    <w:p>
      <w:pPr>
        <w:pStyle w:val="ListBullet"/>
      </w:pPr>
      <w:r>
        <w:t>Identify applicable threshold and mandatory registration triggers.</w:t>
      </w:r>
    </w:p>
    <w:p>
      <w:pPr>
        <w:pStyle w:val="ListBullet"/>
      </w:pPr>
      <w:r>
        <w:t>Decide GST timing based on legal + commercial needs (customer onboarding, ITC, credibility).</w:t>
      </w:r>
    </w:p>
    <w:p>
      <w:pPr>
        <w:pStyle w:val="Heading2"/>
      </w:pPr>
      <w:r>
        <w:t>B. Documents &amp; Setup (Days 7–15)</w:t>
      </w:r>
    </w:p>
    <w:p>
      <w:pPr>
        <w:pStyle w:val="ListBullet"/>
      </w:pPr>
      <w:r>
        <w:t>Keep COI, PAN, director KYC, authorised signatory proof, and board authorisation ready (as applicable).</w:t>
      </w:r>
    </w:p>
    <w:p>
      <w:pPr>
        <w:pStyle w:val="ListBullet"/>
      </w:pPr>
      <w:r>
        <w:t>Prepare strong principal place of business proof (rent deed/NOC/utility bill/ownership proof).</w:t>
      </w:r>
    </w:p>
    <w:p>
      <w:pPr>
        <w:pStyle w:val="ListBullet"/>
      </w:pPr>
      <w:r>
        <w:t>Confirm consistency of legal name, PAN, address, mobile, and email across MCA, PAN, bank, and GST records.</w:t>
      </w:r>
    </w:p>
    <w:p>
      <w:pPr>
        <w:pStyle w:val="ListBullet"/>
      </w:pPr>
      <w:r>
        <w:t>Finalize HSN/SAC mapping relevant to your invoices.</w:t>
      </w:r>
    </w:p>
    <w:p>
      <w:pPr>
        <w:pStyle w:val="Heading2"/>
      </w:pPr>
      <w:r>
        <w:t>C. Application &amp; Clarifications (Days 15–21)</w:t>
      </w:r>
    </w:p>
    <w:p>
      <w:pPr>
        <w:pStyle w:val="ListBullet"/>
      </w:pPr>
      <w:r>
        <w:t>File GST application with complete and accurate information.</w:t>
      </w:r>
    </w:p>
    <w:p>
      <w:pPr>
        <w:pStyle w:val="ListBullet"/>
      </w:pPr>
      <w:r>
        <w:t>Track ARN actively and respond to notices with precise supporting documents.</w:t>
      </w:r>
    </w:p>
    <w:p>
      <w:pPr>
        <w:pStyle w:val="ListBullet"/>
      </w:pPr>
      <w:r>
        <w:t>Avoid generic clarification responses that risk rejection and delays.</w:t>
      </w:r>
    </w:p>
    <w:p>
      <w:pPr>
        <w:pStyle w:val="Heading2"/>
      </w:pPr>
      <w:r>
        <w:t>D. Post-GSTIN Operational Setup (Days 21–30)</w:t>
      </w:r>
    </w:p>
    <w:p>
      <w:pPr>
        <w:pStyle w:val="ListBullet"/>
      </w:pPr>
      <w:r>
        <w:t>Update invoice format and tax fields immediately after GSTIN allotment.</w:t>
      </w:r>
    </w:p>
    <w:p>
      <w:pPr>
        <w:pStyle w:val="ListBullet"/>
      </w:pPr>
      <w:r>
        <w:t>Configure accounting software: GST ledgers, tax rates, invoice series, and compliance calendar.</w:t>
      </w:r>
    </w:p>
    <w:p>
      <w:pPr>
        <w:pStyle w:val="ListBullet"/>
      </w:pPr>
      <w:r>
        <w:t>Start monthly GSTR-1, GSTR-3B, and ITC reconciliation process from month one.</w:t>
      </w:r>
    </w:p>
    <w:p>
      <w:pPr>
        <w:pStyle w:val="ListBullet"/>
      </w:pPr>
      <w:r>
        <w:t>Align GST and TDS workflows to avoid downstream cleanup and penalties.</w:t>
      </w:r>
    </w:p>
    <w:p>
      <w:pPr>
        <w:pStyle w:val="Heading2"/>
      </w:pPr>
      <w:r>
        <w:t>E. Founder-Level Controls</w:t>
      </w:r>
    </w:p>
    <w:p>
      <w:pPr>
        <w:pStyle w:val="ListBullet"/>
      </w:pPr>
      <w:r>
        <w:t>Assign clear ownership for invoicing, GST data review, vendor follow-up, and filing timelines.</w:t>
      </w:r>
    </w:p>
    <w:p>
      <w:pPr>
        <w:pStyle w:val="ListBullet"/>
      </w:pPr>
      <w:r>
        <w:t>Review GSTR-2B mismatches monthly and escalate unresolved vendor issues early.</w:t>
      </w:r>
    </w:p>
    <w:p>
      <w:pPr>
        <w:pStyle w:val="ListBullet"/>
      </w:pPr>
      <w:r>
        <w:t>Keep personal and company expenses strictly separate from day one.</w:t>
      </w:r>
    </w:p>
    <w:p>
      <w:pPr>
        <w:pStyle w:val="Heading2"/>
      </w:pPr>
      <w:r>
        <w:t>Need a readiness review?</w:t>
      </w:r>
    </w:p>
    <w:p>
      <w:r>
        <w:t>WhatsApp SetMyCompany: https://wa.me/919611189911</w:t>
      </w:r>
    </w:p>
    <w:p>
      <w:r>
        <w:br/>
        <w:t>Note: This checklist is educational and must be applied to your specific facts, state rules, and business model.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